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DCBA" w14:textId="133C0C60" w:rsidR="00EC6B87" w:rsidRPr="00793193" w:rsidRDefault="00EC6B87" w:rsidP="00072B3A">
      <w:pPr>
        <w:jc w:val="center"/>
        <w:rPr>
          <w:rFonts w:ascii="Aptos Display" w:hAnsi="Aptos Display"/>
          <w:b/>
          <w:bCs/>
        </w:rPr>
      </w:pPr>
      <w:r w:rsidRPr="00793193">
        <w:rPr>
          <w:rFonts w:ascii="Aptos Display" w:hAnsi="Aptos Display"/>
          <w:b/>
          <w:bCs/>
        </w:rPr>
        <w:t>CONSULTA CIUDADANA</w:t>
      </w:r>
    </w:p>
    <w:p w14:paraId="50A24676" w14:textId="70DABA90" w:rsidR="00DF7A72" w:rsidRPr="00793193" w:rsidRDefault="001C2932" w:rsidP="00072B3A">
      <w:pPr>
        <w:jc w:val="center"/>
        <w:rPr>
          <w:rFonts w:ascii="Aptos Display" w:hAnsi="Aptos Display"/>
          <w:b/>
          <w:bCs/>
          <w:u w:val="single"/>
        </w:rPr>
      </w:pPr>
      <w:r w:rsidRPr="001C2932">
        <w:rPr>
          <w:rFonts w:ascii="Aptos Display" w:hAnsi="Aptos Display"/>
          <w:b/>
          <w:bCs/>
          <w:u w:val="single"/>
        </w:rPr>
        <w:t>Política de Compartición de Infraestructura para el Cierre de Brecha Digital</w:t>
      </w:r>
    </w:p>
    <w:p w14:paraId="399781C0" w14:textId="77777777" w:rsidR="00DF7A72" w:rsidRPr="00793193" w:rsidRDefault="00DF7A72" w:rsidP="00DF7A72">
      <w:pPr>
        <w:jc w:val="both"/>
        <w:rPr>
          <w:rFonts w:ascii="Aptos Display" w:hAnsi="Aptos Display"/>
          <w:b/>
          <w:bCs/>
        </w:rPr>
      </w:pPr>
      <w:r w:rsidRPr="00793193">
        <w:rPr>
          <w:rFonts w:ascii="Aptos Display" w:hAnsi="Aptos Display"/>
          <w:b/>
          <w:bCs/>
        </w:rPr>
        <w:t>Introducción</w:t>
      </w:r>
    </w:p>
    <w:p w14:paraId="47FD4EE6" w14:textId="7A1A25B7" w:rsidR="0054014F" w:rsidRPr="00793193" w:rsidRDefault="00844817" w:rsidP="00DF7A72">
      <w:pPr>
        <w:jc w:val="both"/>
        <w:rPr>
          <w:rFonts w:ascii="Aptos Display" w:hAnsi="Aptos Display"/>
          <w:bCs/>
        </w:rPr>
      </w:pPr>
      <w:r w:rsidRPr="00793193">
        <w:rPr>
          <w:rFonts w:ascii="Aptos Display" w:hAnsi="Aptos Display"/>
          <w:bCs/>
        </w:rPr>
        <w:t xml:space="preserve">Con la promulgación de la Ley 21.678 el año 2024, más conocida como </w:t>
      </w:r>
      <w:r w:rsidR="00203167" w:rsidRPr="00793193">
        <w:rPr>
          <w:rFonts w:ascii="Aptos Display" w:hAnsi="Aptos Display"/>
          <w:bCs/>
        </w:rPr>
        <w:t>“</w:t>
      </w:r>
      <w:r w:rsidRPr="00793193">
        <w:rPr>
          <w:rFonts w:ascii="Aptos Display" w:hAnsi="Aptos Display"/>
          <w:bCs/>
        </w:rPr>
        <w:t>Ley de Internet como Servicio Público</w:t>
      </w:r>
      <w:r w:rsidR="00203167" w:rsidRPr="00793193">
        <w:rPr>
          <w:rFonts w:ascii="Aptos Display" w:hAnsi="Aptos Display"/>
          <w:bCs/>
        </w:rPr>
        <w:t>”</w:t>
      </w:r>
      <w:r w:rsidRPr="00793193">
        <w:rPr>
          <w:rFonts w:ascii="Aptos Display" w:hAnsi="Aptos Display"/>
          <w:bCs/>
        </w:rPr>
        <w:t>, se han agregado nuevos elementos a la normativa de telecomunicaciones que buscan fomentar la compartición de infraestructura, como son el principio de “Compartición de Infraestructura”, y la extensión de servidumbre para torres y antenas en bienes nacionales de uso público. Es por esto, que l</w:t>
      </w:r>
      <w:r w:rsidR="00DF7A72" w:rsidRPr="00793193">
        <w:rPr>
          <w:rFonts w:ascii="Aptos Display" w:hAnsi="Aptos Display"/>
          <w:bCs/>
        </w:rPr>
        <w:t>a Subsecretaría de Telecomunicaciones</w:t>
      </w:r>
      <w:r w:rsidR="00203167" w:rsidRPr="00793193">
        <w:rPr>
          <w:rFonts w:ascii="Aptos Display" w:hAnsi="Aptos Display"/>
          <w:bCs/>
        </w:rPr>
        <w:t>,</w:t>
      </w:r>
      <w:r w:rsidR="00DF7A72" w:rsidRPr="00793193">
        <w:rPr>
          <w:rFonts w:ascii="Aptos Display" w:hAnsi="Aptos Display"/>
          <w:bCs/>
        </w:rPr>
        <w:t xml:space="preserve"> está avanzando en una propuesta de</w:t>
      </w:r>
      <w:r w:rsidRPr="00793193">
        <w:rPr>
          <w:rFonts w:ascii="Aptos Display" w:hAnsi="Aptos Display"/>
          <w:bCs/>
        </w:rPr>
        <w:t xml:space="preserve"> Política de Compartición de Infraestructura de Largo Plazo, realizando un diagnóstico </w:t>
      </w:r>
      <w:r w:rsidR="0054014F" w:rsidRPr="00793193">
        <w:rPr>
          <w:rFonts w:ascii="Aptos Display" w:hAnsi="Aptos Display"/>
          <w:bCs/>
        </w:rPr>
        <w:t>de las herramientas al día de hoy utilizadas, y mirando hacia el futuro, distintas alternativas de compartición de infraestructura, que permitan el fomento al despliegue de infraestructura</w:t>
      </w:r>
      <w:r w:rsidR="00D11FAD" w:rsidRPr="00793193">
        <w:rPr>
          <w:rFonts w:ascii="Aptos Display" w:hAnsi="Aptos Display"/>
          <w:bCs/>
        </w:rPr>
        <w:t>, y en general progresar a un marco integral y cohesivo de desarrollo digital</w:t>
      </w:r>
      <w:r w:rsidR="00DF7A72" w:rsidRPr="00793193">
        <w:rPr>
          <w:rFonts w:ascii="Aptos Display" w:hAnsi="Aptos Display"/>
          <w:bCs/>
        </w:rPr>
        <w:t>.</w:t>
      </w:r>
    </w:p>
    <w:p w14:paraId="58F7F56D" w14:textId="2319583B" w:rsidR="0054014F" w:rsidRPr="00793193" w:rsidRDefault="00DF7A72" w:rsidP="00DF7A72">
      <w:pPr>
        <w:jc w:val="both"/>
        <w:rPr>
          <w:rFonts w:ascii="Aptos Display" w:hAnsi="Aptos Display"/>
          <w:bCs/>
        </w:rPr>
      </w:pPr>
      <w:r w:rsidRPr="00793193">
        <w:rPr>
          <w:rFonts w:ascii="Aptos Display" w:hAnsi="Aptos Display"/>
          <w:bCs/>
        </w:rPr>
        <w:t>Este esfuerzo</w:t>
      </w:r>
      <w:r w:rsidR="0054014F" w:rsidRPr="00793193">
        <w:rPr>
          <w:rFonts w:ascii="Aptos Display" w:hAnsi="Aptos Display"/>
          <w:bCs/>
        </w:rPr>
        <w:t xml:space="preserve">, consideramos como Subsecretaría, no solo es del Estado, sino también de la sociedad en su conjunto, por el bien común que es cerrar la brecha digital, ya que como bien sabemos, contamos con excelentes cifras de conectividad a nivel nacional e internacional, sin embargo, todavía existe un porcentaje de la población que aún no es posible digitalizar, la cual además cumple con características de aislamiento, en muchos casos incluso sin electricidad, bajos niveles de ingresos, entre otros, haciendo mucho más costoso y menos atractivo para el privado desplegar nueva infraestructura. </w:t>
      </w:r>
      <w:r w:rsidR="00D11FAD" w:rsidRPr="00793193">
        <w:rPr>
          <w:rFonts w:ascii="Aptos Display" w:hAnsi="Aptos Display"/>
          <w:bCs/>
        </w:rPr>
        <w:t>Así mismo, hay diversas zonas del p</w:t>
      </w:r>
      <w:r w:rsidR="00793193">
        <w:rPr>
          <w:rFonts w:ascii="Aptos Display" w:hAnsi="Aptos Display"/>
          <w:bCs/>
        </w:rPr>
        <w:t>aís,</w:t>
      </w:r>
      <w:r w:rsidR="00D11FAD" w:rsidRPr="00793193">
        <w:rPr>
          <w:rFonts w:ascii="Aptos Display" w:hAnsi="Aptos Display"/>
          <w:bCs/>
          <w:lang w:val="es-CL"/>
        </w:rPr>
        <w:t xml:space="preserve"> que cuentan con cobertura,</w:t>
      </w:r>
      <w:r w:rsidR="00D11FAD" w:rsidRPr="00793193">
        <w:rPr>
          <w:rFonts w:ascii="Aptos Display" w:hAnsi="Aptos Display"/>
          <w:bCs/>
        </w:rPr>
        <w:t xml:space="preserve"> pero deficiente en términos de robustez y/o tecnología, limitando los servicios y calidad de los mismo</w:t>
      </w:r>
      <w:r w:rsidR="00793193">
        <w:rPr>
          <w:rFonts w:ascii="Aptos Display" w:hAnsi="Aptos Display"/>
          <w:bCs/>
        </w:rPr>
        <w:t>s</w:t>
      </w:r>
      <w:r w:rsidR="00D11FAD" w:rsidRPr="00793193">
        <w:rPr>
          <w:rFonts w:ascii="Aptos Display" w:hAnsi="Aptos Display"/>
          <w:bCs/>
        </w:rPr>
        <w:t xml:space="preserve"> a los que pueden acceder los usuarios, situación que igualmente se mantiene en el tiempo dad</w:t>
      </w:r>
      <w:r w:rsidR="00203167" w:rsidRPr="00793193">
        <w:rPr>
          <w:rFonts w:ascii="Aptos Display" w:hAnsi="Aptos Display"/>
          <w:bCs/>
        </w:rPr>
        <w:t>o</w:t>
      </w:r>
      <w:r w:rsidR="00D11FAD" w:rsidRPr="00793193">
        <w:rPr>
          <w:rFonts w:ascii="Aptos Display" w:hAnsi="Aptos Display"/>
          <w:bCs/>
        </w:rPr>
        <w:t xml:space="preserve"> el poco atractivo económico de las mismas. E</w:t>
      </w:r>
      <w:r w:rsidR="0054014F" w:rsidRPr="00793193">
        <w:rPr>
          <w:rFonts w:ascii="Aptos Display" w:hAnsi="Aptos Display"/>
          <w:bCs/>
        </w:rPr>
        <w:t>s por eso, que se vuelve cada vez más relevante el repensar nuevos modelos de desarrollo que permitan conectar a toda esa población</w:t>
      </w:r>
      <w:r w:rsidR="00D11FAD" w:rsidRPr="00793193">
        <w:rPr>
          <w:rFonts w:ascii="Aptos Display" w:hAnsi="Aptos Display"/>
          <w:bCs/>
        </w:rPr>
        <w:t xml:space="preserve"> de forma adecuada</w:t>
      </w:r>
      <w:r w:rsidR="0054014F" w:rsidRPr="00793193">
        <w:rPr>
          <w:rFonts w:ascii="Aptos Display" w:hAnsi="Aptos Display"/>
          <w:bCs/>
        </w:rPr>
        <w:t xml:space="preserve">, siendo la “Compartición de Infraestructura”, un elemento clave para ese fin. </w:t>
      </w:r>
    </w:p>
    <w:p w14:paraId="04597985" w14:textId="5C3D0B17" w:rsidR="00DF7A72" w:rsidRPr="00793193" w:rsidRDefault="0054014F" w:rsidP="00DF7A72">
      <w:pPr>
        <w:jc w:val="both"/>
        <w:rPr>
          <w:rFonts w:ascii="Aptos Display" w:hAnsi="Aptos Display"/>
          <w:bCs/>
        </w:rPr>
      </w:pPr>
      <w:r w:rsidRPr="00793193">
        <w:rPr>
          <w:rFonts w:ascii="Aptos Display" w:hAnsi="Aptos Display"/>
          <w:bCs/>
        </w:rPr>
        <w:t xml:space="preserve">Por todo lo anterior, como Subsecretaría vemos primordial realizar </w:t>
      </w:r>
      <w:r w:rsidR="00DF7A72" w:rsidRPr="00793193">
        <w:rPr>
          <w:rFonts w:ascii="Aptos Display" w:hAnsi="Aptos Display"/>
          <w:bCs/>
        </w:rPr>
        <w:t>un proceso inclusivo,</w:t>
      </w:r>
      <w:r w:rsidRPr="00793193">
        <w:rPr>
          <w:rFonts w:ascii="Aptos Display" w:hAnsi="Aptos Display"/>
          <w:bCs/>
        </w:rPr>
        <w:t xml:space="preserve"> a través de esta consulta pública, que nos entregue</w:t>
      </w:r>
      <w:r w:rsidR="00DF7A72" w:rsidRPr="00793193">
        <w:rPr>
          <w:rFonts w:ascii="Aptos Display" w:hAnsi="Aptos Display"/>
          <w:bCs/>
        </w:rPr>
        <w:t xml:space="preserve"> </w:t>
      </w:r>
      <w:r w:rsidRPr="00793193">
        <w:rPr>
          <w:rFonts w:ascii="Aptos Display" w:hAnsi="Aptos Display"/>
          <w:bCs/>
        </w:rPr>
        <w:t xml:space="preserve">la </w:t>
      </w:r>
      <w:r w:rsidR="00DF7A72" w:rsidRPr="00793193">
        <w:rPr>
          <w:rFonts w:ascii="Aptos Display" w:hAnsi="Aptos Display"/>
          <w:bCs/>
        </w:rPr>
        <w:t>retroalimentación y perspectivas de una amplia gama de participantes clave</w:t>
      </w:r>
      <w:r w:rsidRPr="00793193">
        <w:rPr>
          <w:rFonts w:ascii="Aptos Display" w:hAnsi="Aptos Display"/>
          <w:bCs/>
        </w:rPr>
        <w:t>s</w:t>
      </w:r>
      <w:r w:rsidR="00DF7A72" w:rsidRPr="00793193">
        <w:rPr>
          <w:rFonts w:ascii="Aptos Display" w:hAnsi="Aptos Display"/>
          <w:bCs/>
        </w:rPr>
        <w:t>, tanto del ámbito público como privado,</w:t>
      </w:r>
      <w:r w:rsidRPr="00793193">
        <w:rPr>
          <w:rFonts w:ascii="Aptos Display" w:hAnsi="Aptos Display"/>
          <w:bCs/>
        </w:rPr>
        <w:t xml:space="preserve"> en relación al tema ya planteado</w:t>
      </w:r>
      <w:r w:rsidR="00DF7A72" w:rsidRPr="00793193">
        <w:rPr>
          <w:rFonts w:ascii="Aptos Display" w:hAnsi="Aptos Display"/>
          <w:bCs/>
        </w:rPr>
        <w:t xml:space="preserve">. </w:t>
      </w:r>
    </w:p>
    <w:p w14:paraId="0FDB51BE" w14:textId="77777777" w:rsidR="006C221A" w:rsidRPr="00793193" w:rsidRDefault="006C221A" w:rsidP="00DF7A72">
      <w:pPr>
        <w:jc w:val="both"/>
        <w:rPr>
          <w:rFonts w:ascii="Aptos Display" w:hAnsi="Aptos Display"/>
          <w:bCs/>
        </w:rPr>
      </w:pPr>
    </w:p>
    <w:p w14:paraId="7797A3D4" w14:textId="77777777" w:rsidR="00DF7A72" w:rsidRPr="00793193" w:rsidRDefault="00DF7A72" w:rsidP="00DF7A72">
      <w:pPr>
        <w:jc w:val="both"/>
        <w:rPr>
          <w:rFonts w:ascii="Aptos Display" w:hAnsi="Aptos Display"/>
          <w:b/>
          <w:bCs/>
        </w:rPr>
      </w:pPr>
      <w:r w:rsidRPr="00793193">
        <w:rPr>
          <w:rFonts w:ascii="Aptos Display" w:hAnsi="Aptos Display"/>
          <w:b/>
          <w:bCs/>
        </w:rPr>
        <w:t>Objetivo</w:t>
      </w:r>
    </w:p>
    <w:p w14:paraId="59FF0719" w14:textId="3D42B828" w:rsidR="00844817" w:rsidRPr="00793193" w:rsidRDefault="00844817" w:rsidP="00DF7A72">
      <w:pPr>
        <w:jc w:val="both"/>
        <w:rPr>
          <w:rFonts w:ascii="Aptos Display" w:hAnsi="Aptos Display"/>
        </w:rPr>
      </w:pPr>
      <w:r w:rsidRPr="00793193">
        <w:rPr>
          <w:rFonts w:ascii="Aptos Display" w:hAnsi="Aptos Display"/>
        </w:rPr>
        <w:t>El objeto de esta consulta pública, consiste en abordar la política actual llevada por esta Subsecretaría Telecomunicaciones, en cuanto a compartición de infraestructura, buscando analizar las herramientas que se han utilizado hasta el momento</w:t>
      </w:r>
      <w:r w:rsidR="002E6C90" w:rsidRPr="00793193">
        <w:rPr>
          <w:rFonts w:ascii="Aptos Display" w:hAnsi="Aptos Display"/>
        </w:rPr>
        <w:t xml:space="preserve">. </w:t>
      </w:r>
      <w:r w:rsidR="006C221A" w:rsidRPr="00793193">
        <w:rPr>
          <w:rFonts w:ascii="Aptos Display" w:hAnsi="Aptos Display"/>
        </w:rPr>
        <w:t>Y</w:t>
      </w:r>
      <w:r w:rsidR="00793193">
        <w:rPr>
          <w:rFonts w:ascii="Aptos Display" w:hAnsi="Aptos Display"/>
        </w:rPr>
        <w:t>,</w:t>
      </w:r>
      <w:r w:rsidR="006C221A" w:rsidRPr="00793193">
        <w:rPr>
          <w:rFonts w:ascii="Aptos Display" w:hAnsi="Aptos Display"/>
        </w:rPr>
        <w:t xml:space="preserve"> además, realizar una mirada hacia el modelo que debiésemos seguir como país en tema de compartición de infraestructura en el sector de las telecomunicaciones.</w:t>
      </w:r>
      <w:r w:rsidR="00D11FAD" w:rsidRPr="00793193">
        <w:rPr>
          <w:rFonts w:ascii="Aptos Display" w:hAnsi="Aptos Display"/>
        </w:rPr>
        <w:t xml:space="preserve"> Esto sin perjuicio de otros factores, tales como ambientales y urbanísticos, que inciden en el desarrollo de políticas y medidas de compartición de infraestructura. </w:t>
      </w:r>
    </w:p>
    <w:p w14:paraId="12E9927E" w14:textId="77777777" w:rsidR="00844817" w:rsidRPr="00793193" w:rsidRDefault="00844817" w:rsidP="00DF7A72">
      <w:pPr>
        <w:jc w:val="both"/>
        <w:rPr>
          <w:rFonts w:ascii="Aptos Display" w:hAnsi="Aptos Display"/>
          <w:b/>
          <w:bCs/>
        </w:rPr>
      </w:pPr>
    </w:p>
    <w:p w14:paraId="127ECA3D" w14:textId="77777777" w:rsidR="00DF7A72" w:rsidRPr="00793193" w:rsidRDefault="00DF7A72" w:rsidP="00DF7A72">
      <w:pPr>
        <w:jc w:val="both"/>
        <w:rPr>
          <w:rFonts w:ascii="Aptos Display" w:hAnsi="Aptos Display"/>
          <w:b/>
          <w:bCs/>
        </w:rPr>
      </w:pPr>
      <w:r w:rsidRPr="00793193">
        <w:rPr>
          <w:rFonts w:ascii="Aptos Display" w:hAnsi="Aptos Display"/>
          <w:b/>
          <w:bCs/>
        </w:rPr>
        <w:lastRenderedPageBreak/>
        <w:t>Consulta</w:t>
      </w:r>
    </w:p>
    <w:p w14:paraId="7C760F34" w14:textId="2D76CF59" w:rsidR="00DF7A72" w:rsidRPr="00793193" w:rsidRDefault="00DF7A72" w:rsidP="00DF7A72">
      <w:pPr>
        <w:jc w:val="both"/>
        <w:rPr>
          <w:rFonts w:ascii="Aptos Display" w:hAnsi="Aptos Display"/>
          <w:bCs/>
        </w:rPr>
      </w:pPr>
      <w:r w:rsidRPr="00793193">
        <w:rPr>
          <w:rFonts w:ascii="Aptos Display" w:hAnsi="Aptos Display"/>
          <w:bCs/>
        </w:rPr>
        <w:t xml:space="preserve">Para esta </w:t>
      </w:r>
      <w:r w:rsidR="006C221A" w:rsidRPr="00793193">
        <w:rPr>
          <w:rFonts w:ascii="Aptos Display" w:hAnsi="Aptos Display"/>
          <w:bCs/>
        </w:rPr>
        <w:t>consulta</w:t>
      </w:r>
      <w:r w:rsidRPr="00793193">
        <w:rPr>
          <w:rFonts w:ascii="Aptos Display" w:hAnsi="Aptos Display"/>
          <w:bCs/>
        </w:rPr>
        <w:t>, se ha compartido un</w:t>
      </w:r>
      <w:r w:rsidR="006C221A" w:rsidRPr="00793193">
        <w:rPr>
          <w:rFonts w:ascii="Aptos Display" w:hAnsi="Aptos Display"/>
          <w:bCs/>
        </w:rPr>
        <w:t xml:space="preserve"> formulario Google para que pueda realizar sus observaciones a cada uno de los temas planteados.</w:t>
      </w:r>
      <w:r w:rsidRPr="00793193">
        <w:rPr>
          <w:rFonts w:ascii="Aptos Display" w:hAnsi="Aptos Display"/>
          <w:bCs/>
        </w:rPr>
        <w:t xml:space="preserve"> Este paso subraya nuestro compromiso con un proceso transparente y participativo, destinado a enriquecer y perfeccionar </w:t>
      </w:r>
      <w:r w:rsidR="006C221A" w:rsidRPr="00793193">
        <w:rPr>
          <w:rFonts w:ascii="Aptos Display" w:hAnsi="Aptos Display"/>
          <w:bCs/>
        </w:rPr>
        <w:t>nuestra regulación.</w:t>
      </w:r>
    </w:p>
    <w:sectPr w:rsidR="00DF7A72" w:rsidRPr="0079319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DC70" w14:textId="77777777" w:rsidR="002B0BE8" w:rsidRDefault="002B0BE8" w:rsidP="00EC6B87">
      <w:pPr>
        <w:spacing w:after="0" w:line="240" w:lineRule="auto"/>
      </w:pPr>
      <w:r>
        <w:separator/>
      </w:r>
    </w:p>
  </w:endnote>
  <w:endnote w:type="continuationSeparator" w:id="0">
    <w:p w14:paraId="50DB1EFB" w14:textId="77777777" w:rsidR="002B0BE8" w:rsidRDefault="002B0BE8" w:rsidP="00EC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1DB8" w14:textId="77777777" w:rsidR="002B0BE8" w:rsidRDefault="002B0BE8" w:rsidP="00EC6B87">
      <w:pPr>
        <w:spacing w:after="0" w:line="240" w:lineRule="auto"/>
      </w:pPr>
      <w:r>
        <w:separator/>
      </w:r>
    </w:p>
  </w:footnote>
  <w:footnote w:type="continuationSeparator" w:id="0">
    <w:p w14:paraId="3F76806C" w14:textId="77777777" w:rsidR="002B0BE8" w:rsidRDefault="002B0BE8" w:rsidP="00EC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634D" w14:textId="29A1FE49" w:rsidR="00EC6B87" w:rsidRDefault="00EC6B87">
    <w:r>
      <w:rPr>
        <w:rFonts w:eastAsia="Times New Roman"/>
        <w:noProof/>
        <w:color w:val="000000"/>
        <w:lang w:val="es-CL" w:eastAsia="es-CL"/>
      </w:rPr>
      <w:drawing>
        <wp:inline distT="0" distB="0" distL="0" distR="0" wp14:anchorId="46A50A97" wp14:editId="4494150D">
          <wp:extent cx="993913" cy="834887"/>
          <wp:effectExtent l="0" t="0" r="0" b="381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96678" cy="83720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12B9F"/>
    <w:multiLevelType w:val="hybridMultilevel"/>
    <w:tmpl w:val="07FCD040"/>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59216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3A"/>
    <w:rsid w:val="00072B3A"/>
    <w:rsid w:val="00084251"/>
    <w:rsid w:val="00144E05"/>
    <w:rsid w:val="001767A9"/>
    <w:rsid w:val="001C2932"/>
    <w:rsid w:val="00203167"/>
    <w:rsid w:val="002272A4"/>
    <w:rsid w:val="002B0BE8"/>
    <w:rsid w:val="002E6C90"/>
    <w:rsid w:val="00384BD3"/>
    <w:rsid w:val="004016C4"/>
    <w:rsid w:val="00414050"/>
    <w:rsid w:val="004367C8"/>
    <w:rsid w:val="004B0869"/>
    <w:rsid w:val="004D1ACD"/>
    <w:rsid w:val="005205D0"/>
    <w:rsid w:val="0054014F"/>
    <w:rsid w:val="00567F50"/>
    <w:rsid w:val="0066650B"/>
    <w:rsid w:val="00671707"/>
    <w:rsid w:val="00672EFE"/>
    <w:rsid w:val="006C221A"/>
    <w:rsid w:val="006F1A50"/>
    <w:rsid w:val="00793193"/>
    <w:rsid w:val="007A12A7"/>
    <w:rsid w:val="00810C34"/>
    <w:rsid w:val="00844817"/>
    <w:rsid w:val="00985F9C"/>
    <w:rsid w:val="009C3E33"/>
    <w:rsid w:val="009E3344"/>
    <w:rsid w:val="00A40009"/>
    <w:rsid w:val="00AA3FA1"/>
    <w:rsid w:val="00B5685E"/>
    <w:rsid w:val="00C130F1"/>
    <w:rsid w:val="00D11FAD"/>
    <w:rsid w:val="00D421A3"/>
    <w:rsid w:val="00DF7A72"/>
    <w:rsid w:val="00EC6B87"/>
    <w:rsid w:val="00F1506A"/>
    <w:rsid w:val="00FE24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D8F8"/>
  <w15:docId w15:val="{C52806AC-4B96-4065-9555-AADE3111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6B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B87"/>
  </w:style>
  <w:style w:type="paragraph" w:styleId="Piedepgina">
    <w:name w:val="footer"/>
    <w:basedOn w:val="Normal"/>
    <w:link w:val="PiedepginaCar"/>
    <w:uiPriority w:val="99"/>
    <w:unhideWhenUsed/>
    <w:rsid w:val="00EC6B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B87"/>
  </w:style>
  <w:style w:type="paragraph" w:styleId="Textodeglobo">
    <w:name w:val="Balloon Text"/>
    <w:basedOn w:val="Normal"/>
    <w:link w:val="TextodegloboCar"/>
    <w:uiPriority w:val="99"/>
    <w:semiHidden/>
    <w:unhideWhenUsed/>
    <w:rsid w:val="00EC6B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B87"/>
    <w:rPr>
      <w:rFonts w:ascii="Tahoma" w:hAnsi="Tahoma" w:cs="Tahoma"/>
      <w:sz w:val="16"/>
      <w:szCs w:val="16"/>
    </w:rPr>
  </w:style>
  <w:style w:type="paragraph" w:styleId="Prrafodelista">
    <w:name w:val="List Paragraph"/>
    <w:basedOn w:val="Normal"/>
    <w:uiPriority w:val="34"/>
    <w:qFormat/>
    <w:rsid w:val="00EC6B87"/>
    <w:pPr>
      <w:ind w:left="720"/>
      <w:contextualSpacing/>
    </w:pPr>
  </w:style>
  <w:style w:type="character" w:styleId="Hipervnculo">
    <w:name w:val="Hyperlink"/>
    <w:basedOn w:val="Fuentedeprrafopredeter"/>
    <w:uiPriority w:val="99"/>
    <w:semiHidden/>
    <w:unhideWhenUsed/>
    <w:rsid w:val="004367C8"/>
    <w:rPr>
      <w:color w:val="0000FF"/>
      <w:u w:val="single"/>
    </w:rPr>
  </w:style>
  <w:style w:type="paragraph" w:styleId="Revisin">
    <w:name w:val="Revision"/>
    <w:hidden/>
    <w:uiPriority w:val="99"/>
    <w:semiHidden/>
    <w:rsid w:val="00144E05"/>
    <w:pPr>
      <w:spacing w:after="0" w:line="240" w:lineRule="auto"/>
    </w:pPr>
  </w:style>
  <w:style w:type="paragraph" w:styleId="NormalWeb">
    <w:name w:val="Normal (Web)"/>
    <w:basedOn w:val="Normal"/>
    <w:uiPriority w:val="99"/>
    <w:semiHidden/>
    <w:unhideWhenUsed/>
    <w:rsid w:val="00DF7A72"/>
    <w:pPr>
      <w:spacing w:before="100" w:beforeAutospacing="1" w:after="100" w:afterAutospacing="1" w:line="240" w:lineRule="auto"/>
    </w:pPr>
    <w:rPr>
      <w:rFonts w:ascii="Times New Roman" w:eastAsia="Times New Roman" w:hAnsi="Times New Roman" w:cs="Times New Roman"/>
      <w:kern w:val="0"/>
      <w:sz w:val="24"/>
      <w:szCs w:val="24"/>
      <w:lang w:val="es-CL" w:eastAsia="es-CL"/>
      <w14:ligatures w14:val="none"/>
    </w:rPr>
  </w:style>
  <w:style w:type="character" w:styleId="Textoennegrita">
    <w:name w:val="Strong"/>
    <w:basedOn w:val="Fuentedeprrafopredeter"/>
    <w:uiPriority w:val="22"/>
    <w:qFormat/>
    <w:rsid w:val="00DF7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9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F3D90-4BCC-40A4-A2E1-B70008FB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Sepúlveda Witt</dc:creator>
  <cp:lastModifiedBy>Eduardo Sánchez Ortiz</cp:lastModifiedBy>
  <cp:revision>3</cp:revision>
  <dcterms:created xsi:type="dcterms:W3CDTF">2025-01-15T14:35:00Z</dcterms:created>
  <dcterms:modified xsi:type="dcterms:W3CDTF">2025-01-15T15:08:00Z</dcterms:modified>
</cp:coreProperties>
</file>